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5" w:type="dxa"/>
        <w:jc w:val="center"/>
        <w:tblCellSpacing w:w="0" w:type="dxa"/>
        <w:shd w:val="clear" w:color="auto" w:fill="4A99DB"/>
        <w:tblCellMar>
          <w:top w:w="150" w:type="dxa"/>
          <w:left w:w="150" w:type="dxa"/>
          <w:bottom w:w="150" w:type="dxa"/>
          <w:right w:w="150" w:type="dxa"/>
        </w:tblCellMar>
        <w:tblLook w:val="04A0" w:firstRow="1" w:lastRow="0" w:firstColumn="1" w:lastColumn="0" w:noHBand="0" w:noVBand="1"/>
      </w:tblPr>
      <w:tblGrid>
        <w:gridCol w:w="9405"/>
      </w:tblGrid>
      <w:tr w:rsidR="00D323D1" w:rsidRPr="00D323D1" w:rsidTr="00D323D1">
        <w:trPr>
          <w:trHeight w:val="1905"/>
          <w:tblCellSpacing w:w="0" w:type="dxa"/>
          <w:jc w:val="center"/>
        </w:trPr>
        <w:tc>
          <w:tcPr>
            <w:tcW w:w="0" w:type="auto"/>
            <w:shd w:val="clear" w:color="auto" w:fill="4A99DB"/>
            <w:vAlign w:val="center"/>
            <w:hideMark/>
          </w:tcPr>
          <w:p w:rsidR="00D323D1" w:rsidRPr="00D323D1" w:rsidRDefault="00D323D1" w:rsidP="00D323D1">
            <w:pPr>
              <w:spacing w:after="0" w:line="288" w:lineRule="atLeast"/>
              <w:jc w:val="center"/>
              <w:rPr>
                <w:rFonts w:ascii="Gill Sans MT" w:eastAsia="Times New Roman" w:hAnsi="Gill Sans MT" w:cs="Arial"/>
                <w:sz w:val="36"/>
                <w:szCs w:val="36"/>
              </w:rPr>
            </w:pPr>
            <w:r w:rsidRPr="00D323D1">
              <w:rPr>
                <w:rFonts w:ascii="Gill Sans MT" w:eastAsia="Times New Roman" w:hAnsi="Gill Sans MT" w:cs="Arial"/>
                <w:b/>
                <w:bCs/>
                <w:color w:val="680325"/>
                <w:sz w:val="48"/>
                <w:szCs w:val="48"/>
              </w:rPr>
              <w:t>Journey Into</w:t>
            </w:r>
          </w:p>
          <w:p w:rsidR="00D323D1" w:rsidRPr="00D323D1" w:rsidRDefault="00D323D1" w:rsidP="00D323D1">
            <w:pPr>
              <w:spacing w:before="100" w:beforeAutospacing="1" w:after="100" w:afterAutospacing="1" w:line="360" w:lineRule="atLeast"/>
              <w:jc w:val="center"/>
              <w:rPr>
                <w:rFonts w:ascii="Gill Sans MT" w:eastAsia="Times New Roman" w:hAnsi="Gill Sans MT" w:cs="Arial"/>
                <w:sz w:val="36"/>
                <w:szCs w:val="36"/>
              </w:rPr>
            </w:pPr>
            <w:r w:rsidRPr="00D323D1">
              <w:rPr>
                <w:rFonts w:ascii="Gill Sans MT" w:eastAsia="Times New Roman" w:hAnsi="Gill Sans MT" w:cs="Arial"/>
                <w:b/>
                <w:bCs/>
                <w:color w:val="680325"/>
                <w:sz w:val="56"/>
                <w:szCs w:val="56"/>
              </w:rPr>
              <w:t>Biblical Problem Solving</w:t>
            </w:r>
          </w:p>
        </w:tc>
      </w:tr>
      <w:tr w:rsidR="00D323D1" w:rsidRPr="00D323D1" w:rsidTr="00D323D1">
        <w:trPr>
          <w:trHeight w:val="3810"/>
          <w:tblCellSpacing w:w="0" w:type="dxa"/>
          <w:jc w:val="center"/>
        </w:trPr>
        <w:tc>
          <w:tcPr>
            <w:tcW w:w="0" w:type="auto"/>
            <w:shd w:val="clear" w:color="auto" w:fill="FFFFFF"/>
            <w:vAlign w:val="center"/>
            <w:hideMark/>
          </w:tcPr>
          <w:p w:rsidR="00D323D1" w:rsidRPr="00D323D1" w:rsidRDefault="00D323D1" w:rsidP="00D323D1">
            <w:pPr>
              <w:spacing w:before="100" w:beforeAutospacing="1" w:after="100" w:afterAutospacing="1" w:line="240" w:lineRule="atLeast"/>
              <w:rPr>
                <w:rFonts w:ascii="Arial" w:eastAsia="Times New Roman" w:hAnsi="Arial" w:cs="Arial"/>
                <w:sz w:val="24"/>
                <w:szCs w:val="24"/>
              </w:rPr>
            </w:pPr>
            <w:r w:rsidRPr="00D323D1">
              <w:rPr>
                <w:rFonts w:ascii="Verdana" w:eastAsia="Times New Roman" w:hAnsi="Verdana" w:cs="Arial"/>
                <w:b/>
                <w:bCs/>
                <w:sz w:val="20"/>
                <w:szCs w:val="20"/>
              </w:rPr>
              <w:br/>
            </w:r>
            <w:r w:rsidRPr="00D323D1">
              <w:rPr>
                <w:rFonts w:ascii="Arial" w:eastAsia="Times New Roman" w:hAnsi="Arial" w:cs="Arial"/>
                <w:noProof/>
                <w:sz w:val="24"/>
                <w:szCs w:val="24"/>
              </w:rPr>
              <w:drawing>
                <wp:anchor distT="0" distB="0" distL="0" distR="0" simplePos="0" relativeHeight="251659264" behindDoc="0" locked="0" layoutInCell="1" allowOverlap="0" wp14:anchorId="1BAE07E6" wp14:editId="7E71BF05">
                  <wp:simplePos x="0" y="0"/>
                  <wp:positionH relativeFrom="column">
                    <wp:align>left</wp:align>
                  </wp:positionH>
                  <wp:positionV relativeFrom="line">
                    <wp:posOffset>0</wp:posOffset>
                  </wp:positionV>
                  <wp:extent cx="1714500" cy="2057400"/>
                  <wp:effectExtent l="0" t="0" r="0" b="0"/>
                  <wp:wrapSquare wrapText="bothSides"/>
                  <wp:docPr id="1" name="Picture 1"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o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23D1">
              <w:rPr>
                <w:rFonts w:ascii="Verdana" w:eastAsia="Times New Roman" w:hAnsi="Verdana" w:cs="Arial"/>
                <w:b/>
                <w:bCs/>
                <w:sz w:val="20"/>
                <w:szCs w:val="20"/>
              </w:rPr>
              <w:t>This is a 26-lesson, verse-by-verse study of </w:t>
            </w:r>
            <w:r w:rsidRPr="00D323D1">
              <w:rPr>
                <w:rFonts w:ascii="Verdana" w:eastAsia="Times New Roman" w:hAnsi="Verdana" w:cs="Arial"/>
                <w:b/>
                <w:bCs/>
                <w:i/>
                <w:iCs/>
                <w:color w:val="680325"/>
                <w:sz w:val="20"/>
                <w:szCs w:val="20"/>
              </w:rPr>
              <w:t>1 Corinthians</w:t>
            </w:r>
            <w:r w:rsidRPr="00D323D1">
              <w:rPr>
                <w:rFonts w:ascii="Verdana" w:eastAsia="Times New Roman" w:hAnsi="Verdana" w:cs="Arial"/>
                <w:b/>
                <w:bCs/>
                <w:sz w:val="20"/>
                <w:szCs w:val="20"/>
              </w:rPr>
              <w:t>, an epistle full of principles for solving all kinds of problems. Lesson titles include:  </w:t>
            </w:r>
            <w:r w:rsidRPr="00D323D1">
              <w:rPr>
                <w:rFonts w:ascii="Verdana" w:eastAsia="Times New Roman" w:hAnsi="Verdana" w:cs="Arial"/>
                <w:b/>
                <w:bCs/>
                <w:i/>
                <w:iCs/>
                <w:sz w:val="20"/>
                <w:szCs w:val="20"/>
              </w:rPr>
              <w:t>Maintaining a United House, People God Uses, How To Receive Divine Wisdom, How To Handle a Church Scandal, Maintaining Moral Purity, Biblical Marriage and Singleness, When Something Right Is Wrong, How To Avoid Sin, How To Make Good Decisions, Understanding and Using Spiritual Gifts, Untangling Tongues, What Will Your Resurrected Body Be Like?, How To Build Up Your Church,</w:t>
            </w:r>
            <w:r w:rsidRPr="00D323D1">
              <w:rPr>
                <w:rFonts w:ascii="Verdana" w:eastAsia="Times New Roman" w:hAnsi="Verdana" w:cs="Arial"/>
                <w:b/>
                <w:bCs/>
                <w:sz w:val="20"/>
                <w:szCs w:val="20"/>
              </w:rPr>
              <w:t> etc</w:t>
            </w:r>
            <w:r w:rsidRPr="00D323D1">
              <w:rPr>
                <w:rFonts w:ascii="Verdana" w:eastAsia="Times New Roman" w:hAnsi="Verdana" w:cs="Arial"/>
                <w:b/>
                <w:bCs/>
                <w:i/>
                <w:iCs/>
                <w:sz w:val="20"/>
                <w:szCs w:val="20"/>
              </w:rPr>
              <w:t>.</w:t>
            </w:r>
          </w:p>
        </w:tc>
      </w:tr>
    </w:tbl>
    <w:p w:rsidR="000D2789" w:rsidRDefault="000D2789">
      <w:bookmarkStart w:id="0" w:name="_GoBack"/>
      <w:bookmarkEnd w:id="0"/>
    </w:p>
    <w:sectPr w:rsidR="000D2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3D1"/>
    <w:rsid w:val="000D2789"/>
    <w:rsid w:val="00D32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0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Chancellor Hollins</dc:creator>
  <cp:lastModifiedBy>Chancellor Hollins</cp:lastModifiedBy>
  <cp:revision>1</cp:revision>
  <dcterms:created xsi:type="dcterms:W3CDTF">2014-09-17T02:04:00Z</dcterms:created>
  <dcterms:modified xsi:type="dcterms:W3CDTF">2014-09-17T02:05:00Z</dcterms:modified>
</cp:coreProperties>
</file>